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156044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5EF207BF" w:rsidR="004E6A21" w:rsidRPr="00156044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«</w:t>
      </w:r>
      <w:r w:rsidR="001B7BEB"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Скидка 2</w:t>
      </w: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0%</w:t>
      </w:r>
      <w:r w:rsidR="001B7BEB"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 xml:space="preserve"> 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на профессиональную гигиену полости рта и зубов»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43F0AB89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Скидка 20% 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на профессиональную гигиену полости рта и зубов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4D271D9" w14:textId="77777777" w:rsidR="00156044" w:rsidRPr="0097381C" w:rsidRDefault="00156044" w:rsidP="00156044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</w:p>
    <w:p w14:paraId="5824C924" w14:textId="77777777" w:rsidR="00AF0E29" w:rsidRDefault="00156044" w:rsidP="00AF0E29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ООО "</w:t>
      </w:r>
      <w:r>
        <w:rPr>
          <w:rFonts w:ascii="Times New Roman" w:hAnsi="Times New Roman" w:cs="Times New Roman"/>
        </w:rPr>
        <w:t>ПРЕМЬЕР МЕДИКА</w:t>
      </w:r>
      <w:r w:rsidRPr="0097381C">
        <w:rPr>
          <w:rFonts w:ascii="Times New Roman" w:hAnsi="Times New Roman" w:cs="Times New Roman"/>
        </w:rPr>
        <w:t>" Юридический адрес:143420, Московская обл., городской округ Красногорск, г. Красногорск, ул. Новоархангельская, д. 1, пом. 2, ОГРН: 1085018008624 ИНН: 5018130338.</w:t>
      </w:r>
    </w:p>
    <w:p w14:paraId="204CC56D" w14:textId="35494D3C" w:rsidR="002742B6" w:rsidRPr="00AF0E29" w:rsidRDefault="002742B6" w:rsidP="00AF0E29">
      <w:pPr>
        <w:pStyle w:val="a7"/>
        <w:spacing w:line="360" w:lineRule="exact"/>
        <w:jc w:val="both"/>
        <w:rPr>
          <w:rFonts w:ascii="Times New Roman" w:hAnsi="Times New Roman" w:cs="Times New Roman"/>
        </w:rPr>
      </w:pPr>
      <w:r w:rsidRPr="00AF0E29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2905942" w14:textId="18037D99" w:rsidR="00C23CED" w:rsidRPr="001B7BEB" w:rsidRDefault="002742B6" w:rsidP="001B7BEB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04E86738" w14:textId="77777777" w:rsidR="00156044" w:rsidRDefault="00156044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«АВС-медицина» на Коломенской (Москва, проспект Андропова, д.42, к.1);</w:t>
      </w:r>
    </w:p>
    <w:p w14:paraId="59C68F57" w14:textId="77777777" w:rsidR="00156044" w:rsidRPr="0097381C" w:rsidRDefault="00156044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«АВС-медицина» на Октябрьском поле (Москва, ул. Берзарина 30Б);</w:t>
      </w:r>
    </w:p>
    <w:p w14:paraId="53BBB06E" w14:textId="77777777" w:rsidR="00156044" w:rsidRDefault="00156044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«АВС-медицина» на Проспекте Вернадского (Москва, ул. Проспект Вернадского, д. 33);</w:t>
      </w:r>
    </w:p>
    <w:p w14:paraId="1DBA8153" w14:textId="77777777" w:rsidR="00156044" w:rsidRDefault="00156044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«АВС-медицина» в Новых Черёмушках (Москва, ул. Намёткина, д. 17/68);</w:t>
      </w:r>
    </w:p>
    <w:p w14:paraId="3F909230" w14:textId="06ECD79A" w:rsidR="00156044" w:rsidRDefault="00156044" w:rsidP="00156044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«Премьер Медика (Проект АВС-медицина)» (Московская область, округ Красногорск, г. Красногорск, ул. Новоархангельская, д. 1).</w:t>
      </w:r>
    </w:p>
    <w:p w14:paraId="78F76AAE" w14:textId="77777777" w:rsidR="00156044" w:rsidRDefault="00156044" w:rsidP="00156044">
      <w:pPr>
        <w:pStyle w:val="a7"/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F2ECF0B" w14:textId="6E3ED246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«23» декабря 2025 по «</w:t>
      </w:r>
      <w:r w:rsidR="00DE7FFC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» января 2026 гг.</w:t>
      </w:r>
    </w:p>
    <w:p w14:paraId="7665FB2F" w14:textId="77777777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BC5EAE4" w14:textId="46C4990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lastRenderedPageBreak/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20CDB9BB" w14:textId="26561F6F" w:rsidR="002742B6" w:rsidRPr="00156044" w:rsidRDefault="002742B6" w:rsidP="00156044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156044">
        <w:rPr>
          <w:rFonts w:ascii="Times New Roman" w:hAnsi="Times New Roman" w:cs="Times New Roman"/>
        </w:rPr>
        <w:t>С «23» декабря 2025 по                                     «</w:t>
      </w:r>
      <w:r w:rsidR="00593A04">
        <w:rPr>
          <w:rFonts w:ascii="Times New Roman" w:hAnsi="Times New Roman" w:cs="Times New Roman"/>
        </w:rPr>
        <w:t>31</w:t>
      </w:r>
      <w:r w:rsidR="00156044">
        <w:rPr>
          <w:rFonts w:ascii="Times New Roman" w:hAnsi="Times New Roman" w:cs="Times New Roman"/>
        </w:rPr>
        <w:t xml:space="preserve">» января 2026 гг. </w:t>
      </w:r>
      <w:r w:rsidRPr="00FB21D2">
        <w:rPr>
          <w:rFonts w:ascii="Times New Roman" w:eastAsia="Times New Roman" w:hAnsi="Times New Roman" w:cs="Times New Roman" w:hint="eastAsia"/>
        </w:rPr>
        <w:t xml:space="preserve">обратиться в </w:t>
      </w:r>
      <w:r w:rsidR="00156044" w:rsidRPr="00156044">
        <w:rPr>
          <w:rFonts w:ascii="Times New Roman" w:eastAsia="Times New Roman" w:hAnsi="Times New Roman" w:cs="Times New Roman" w:hint="eastAsia"/>
        </w:rPr>
        <w:t>м</w:t>
      </w:r>
      <w:r w:rsidR="00156044">
        <w:rPr>
          <w:rFonts w:ascii="Times New Roman" w:eastAsia="Times New Roman" w:hAnsi="Times New Roman" w:cs="Times New Roman"/>
        </w:rPr>
        <w:t>едицинский центр «АВС-медицина»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 и</w:t>
      </w:r>
      <w:r w:rsidRPr="00FB21D2">
        <w:rPr>
          <w:rFonts w:ascii="Times New Roman" w:eastAsia="Times New Roman" w:hAnsi="Times New Roman" w:cs="Times New Roman" w:hint="eastAsia"/>
        </w:rPr>
        <w:t xml:space="preserve"> получить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: </w:t>
      </w:r>
      <w:r w:rsidR="00C45DFB" w:rsidRPr="00FB21D2">
        <w:rPr>
          <w:rFonts w:ascii="Times New Roman" w:eastAsia="Times New Roman" w:hAnsi="Times New Roman" w:cs="Times New Roman" w:hint="eastAsia"/>
        </w:rPr>
        <w:br/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скидку </w:t>
      </w:r>
      <w:r w:rsidR="001B7BEB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20</w:t>
      </w:r>
      <w:r w:rsidR="00C23CED" w:rsidRPr="00FB21D2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 xml:space="preserve">% 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на профессиональную гигиену полости рта и зубов</w:t>
      </w:r>
      <w:r w:rsidR="00156044">
        <w:rPr>
          <w:rFonts w:ascii="Times New Roman" w:eastAsia="Times New Roman" w:hAnsi="Times New Roman" w:cs="Times New Roman"/>
          <w:i/>
          <w:iCs/>
          <w:szCs w:val="26"/>
        </w:rPr>
        <w:t>.</w:t>
      </w: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lastRenderedPageBreak/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4377" w14:textId="77777777" w:rsidR="00683E96" w:rsidRDefault="00683E96" w:rsidP="008A4F9D">
      <w:r>
        <w:separator/>
      </w:r>
    </w:p>
  </w:endnote>
  <w:endnote w:type="continuationSeparator" w:id="0">
    <w:p w14:paraId="6A3636EC" w14:textId="77777777" w:rsidR="00683E96" w:rsidRDefault="00683E96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8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6E50" w14:textId="77777777" w:rsidR="00683E96" w:rsidRDefault="00683E96" w:rsidP="008A4F9D">
      <w:r>
        <w:separator/>
      </w:r>
    </w:p>
  </w:footnote>
  <w:footnote w:type="continuationSeparator" w:id="0">
    <w:p w14:paraId="6813C069" w14:textId="77777777" w:rsidR="00683E96" w:rsidRDefault="00683E96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59606">
    <w:abstractNumId w:val="5"/>
  </w:num>
  <w:num w:numId="2" w16cid:durableId="1153332722">
    <w:abstractNumId w:val="9"/>
  </w:num>
  <w:num w:numId="3" w16cid:durableId="1470631446">
    <w:abstractNumId w:val="2"/>
  </w:num>
  <w:num w:numId="4" w16cid:durableId="1739355371">
    <w:abstractNumId w:val="3"/>
  </w:num>
  <w:num w:numId="5" w16cid:durableId="87123085">
    <w:abstractNumId w:val="6"/>
  </w:num>
  <w:num w:numId="6" w16cid:durableId="385029809">
    <w:abstractNumId w:val="0"/>
  </w:num>
  <w:num w:numId="7" w16cid:durableId="1531795918">
    <w:abstractNumId w:val="7"/>
  </w:num>
  <w:num w:numId="8" w16cid:durableId="181626216">
    <w:abstractNumId w:val="1"/>
  </w:num>
  <w:num w:numId="9" w16cid:durableId="1584291156">
    <w:abstractNumId w:val="4"/>
  </w:num>
  <w:num w:numId="10" w16cid:durableId="705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C1738"/>
    <w:rsid w:val="000D6B25"/>
    <w:rsid w:val="001503AD"/>
    <w:rsid w:val="00156044"/>
    <w:rsid w:val="001B7BEB"/>
    <w:rsid w:val="002742B6"/>
    <w:rsid w:val="0035116D"/>
    <w:rsid w:val="004A25AE"/>
    <w:rsid w:val="004E6A21"/>
    <w:rsid w:val="005229B4"/>
    <w:rsid w:val="00593A04"/>
    <w:rsid w:val="005A16E5"/>
    <w:rsid w:val="005E5A53"/>
    <w:rsid w:val="00683E96"/>
    <w:rsid w:val="006C03C4"/>
    <w:rsid w:val="006E661A"/>
    <w:rsid w:val="007C021A"/>
    <w:rsid w:val="008A4F9D"/>
    <w:rsid w:val="0097381C"/>
    <w:rsid w:val="009B4F6E"/>
    <w:rsid w:val="009F2CA6"/>
    <w:rsid w:val="00A279D1"/>
    <w:rsid w:val="00A925C9"/>
    <w:rsid w:val="00AE31D9"/>
    <w:rsid w:val="00AE78EE"/>
    <w:rsid w:val="00AF0E29"/>
    <w:rsid w:val="00BB33BA"/>
    <w:rsid w:val="00C23CED"/>
    <w:rsid w:val="00C45DFB"/>
    <w:rsid w:val="00C54AF2"/>
    <w:rsid w:val="00CD6651"/>
    <w:rsid w:val="00D26262"/>
    <w:rsid w:val="00DE7FFC"/>
    <w:rsid w:val="00E63E13"/>
    <w:rsid w:val="00ED388B"/>
    <w:rsid w:val="00F52843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5</cp:revision>
  <dcterms:created xsi:type="dcterms:W3CDTF">2025-12-19T13:32:00Z</dcterms:created>
  <dcterms:modified xsi:type="dcterms:W3CDTF">2025-12-22T12:47:00Z</dcterms:modified>
</cp:coreProperties>
</file>